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3082" w:firstLineChars="1100"/>
        <w:rPr>
          <w:rFonts w:ascii="Times New Roman" w:hAnsi="Times New Roman" w:eastAsia="微软雅黑" w:cs="Times New Roman"/>
          <w:b/>
          <w:bCs/>
          <w:sz w:val="28"/>
          <w:szCs w:val="28"/>
        </w:rPr>
      </w:pPr>
      <w:r>
        <w:rPr>
          <w:rFonts w:ascii="Times New Roman" w:hAnsi="Times New Roman" w:eastAsia="微软雅黑" w:cs="Times New Roman"/>
          <w:b/>
          <w:bCs/>
          <w:sz w:val="28"/>
          <w:szCs w:val="28"/>
        </w:rPr>
        <w:t>行政村</w:t>
      </w:r>
      <w:r>
        <w:rPr>
          <w:rFonts w:hint="eastAsia" w:ascii="Times New Roman" w:hAnsi="Times New Roman" w:eastAsia="微软雅黑" w:cs="Times New Roman"/>
          <w:b/>
          <w:bCs/>
          <w:sz w:val="28"/>
          <w:szCs w:val="28"/>
        </w:rPr>
        <w:t>资料清单</w:t>
      </w:r>
    </w:p>
    <w:p>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（1）行政村概况介绍（村庄概况、历史沿革、人口、村民组等基本情况）。</w:t>
      </w:r>
    </w:p>
    <w:p>
      <w:pPr>
        <w:spacing w:line="360" w:lineRule="auto"/>
        <w:rPr>
          <w:rFonts w:ascii="Times New Roman" w:hAnsi="Times New Roman" w:eastAsia="仿宋" w:cs="Times New Roman"/>
          <w:sz w:val="28"/>
          <w:szCs w:val="28"/>
        </w:rPr>
      </w:pPr>
      <w:r>
        <w:rPr>
          <w:rFonts w:hint="eastAsia" w:ascii="Times New Roman" w:hAnsi="Times New Roman" w:eastAsia="仿宋" w:cs="Times New Roman"/>
          <w:sz w:val="28"/>
          <w:szCs w:val="28"/>
        </w:rPr>
        <w:t xml:space="preserve">     杨饭店村为于施集镇东部，与珠龙镇、琅琊区毗邻，距离滁州20公里滁梁公路经过我村约5千米，交通便利。村内环境优美、气候宜人，风景秀丽的九天峰度假村在我村境内。</w:t>
      </w:r>
    </w:p>
    <w:p>
      <w:pPr>
        <w:spacing w:line="360" w:lineRule="auto"/>
        <w:ind w:firstLine="840" w:firstLineChars="300"/>
        <w:rPr>
          <w:rFonts w:ascii="Times New Roman" w:hAnsi="Times New Roman" w:eastAsia="仿宋" w:cs="Times New Roman"/>
          <w:sz w:val="28"/>
          <w:szCs w:val="28"/>
        </w:rPr>
      </w:pPr>
      <w:r>
        <w:rPr>
          <w:rFonts w:hint="eastAsia" w:ascii="Times New Roman" w:hAnsi="Times New Roman" w:eastAsia="仿宋" w:cs="Times New Roman"/>
          <w:sz w:val="28"/>
          <w:szCs w:val="28"/>
        </w:rPr>
        <w:t>全村20个村民组，1041户 ，3242人，总面积23.6平方公里，土地确权面积8047亩，山场10000余亩，水面850亩。</w:t>
      </w:r>
    </w:p>
    <w:p>
      <w:pPr>
        <w:tabs>
          <w:tab w:val="left" w:pos="988"/>
        </w:tabs>
        <w:spacing w:line="360" w:lineRule="auto"/>
        <w:rPr>
          <w:rFonts w:ascii="Times New Roman" w:hAnsi="Times New Roman" w:eastAsia="仿宋" w:cs="Times New Roman"/>
          <w:sz w:val="28"/>
          <w:szCs w:val="28"/>
        </w:rPr>
      </w:pPr>
      <w:r>
        <w:rPr>
          <w:rFonts w:ascii="Times New Roman" w:hAnsi="Times New Roman" w:eastAsia="仿宋" w:cs="Times New Roman"/>
          <w:sz w:val="28"/>
          <w:szCs w:val="28"/>
        </w:rPr>
        <w:tab/>
      </w:r>
      <w:r>
        <w:rPr>
          <w:rFonts w:hint="eastAsia" w:ascii="Times New Roman" w:hAnsi="Times New Roman" w:eastAsia="仿宋" w:cs="Times New Roman"/>
          <w:sz w:val="28"/>
          <w:szCs w:val="28"/>
        </w:rPr>
        <w:t>村设党总支委员会，下设4各支部，18个党小组，146名党员。</w:t>
      </w:r>
    </w:p>
    <w:p>
      <w:pPr>
        <w:spacing w:line="360"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（2）行政村主要产业、主要农产品、集体经济收入及其来源。</w:t>
      </w:r>
    </w:p>
    <w:p>
      <w:pPr>
        <w:spacing w:line="360"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 xml:space="preserve">  杨饭店村主要产业草坪，集体经济收入 16万元，来源水库承包每年10000元，老村部租赁款每年18000元，九天峰租赁款87000元，竹木交易市场45000元。</w:t>
      </w:r>
    </w:p>
    <w:p>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w:t>
      </w:r>
      <w:r>
        <w:rPr>
          <w:rFonts w:hint="eastAsia" w:ascii="Times New Roman" w:hAnsi="Times New Roman" w:eastAsia="仿宋" w:cs="Times New Roman"/>
          <w:sz w:val="28"/>
          <w:szCs w:val="28"/>
        </w:rPr>
        <w:t>3</w:t>
      </w:r>
      <w:r>
        <w:rPr>
          <w:rFonts w:ascii="Times New Roman" w:hAnsi="Times New Roman" w:eastAsia="仿宋" w:cs="Times New Roman"/>
          <w:sz w:val="28"/>
          <w:szCs w:val="28"/>
        </w:rPr>
        <w:t>）行政村发展概况（特色概况、产业发展概况、土地流转概况等）</w:t>
      </w:r>
      <w:r>
        <w:rPr>
          <w:rFonts w:hint="eastAsia" w:ascii="Times New Roman" w:hAnsi="Times New Roman" w:eastAsia="仿宋" w:cs="Times New Roman"/>
          <w:sz w:val="28"/>
          <w:szCs w:val="28"/>
        </w:rPr>
        <w:t>。</w:t>
      </w:r>
    </w:p>
    <w:p>
      <w:pPr>
        <w:spacing w:line="360" w:lineRule="auto"/>
        <w:ind w:firstLine="560" w:firstLineChars="200"/>
        <w:rPr>
          <w:rFonts w:ascii="Times New Roman" w:hAnsi="Times New Roman" w:eastAsia="仿宋" w:cs="Times New Roman"/>
          <w:sz w:val="28"/>
          <w:szCs w:val="28"/>
        </w:rPr>
      </w:pPr>
    </w:p>
    <w:p>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w:t>
      </w:r>
      <w:r>
        <w:rPr>
          <w:rFonts w:hint="eastAsia" w:ascii="Times New Roman" w:hAnsi="Times New Roman" w:eastAsia="仿宋" w:cs="Times New Roman"/>
          <w:sz w:val="28"/>
          <w:szCs w:val="28"/>
        </w:rPr>
        <w:t>4</w:t>
      </w:r>
      <w:r>
        <w:rPr>
          <w:rFonts w:ascii="Times New Roman" w:hAnsi="Times New Roman" w:eastAsia="仿宋" w:cs="Times New Roman"/>
          <w:sz w:val="28"/>
          <w:szCs w:val="28"/>
        </w:rPr>
        <w:t>）行政村内部行政办公，文化设施、教育设施、卫生医疗设施、商业服务设施、体育设施建设现状情况摸排</w:t>
      </w:r>
      <w:r>
        <w:rPr>
          <w:rFonts w:hint="eastAsia" w:ascii="Times New Roman" w:hAnsi="Times New Roman" w:eastAsia="仿宋" w:cs="Times New Roman"/>
          <w:sz w:val="28"/>
          <w:szCs w:val="28"/>
        </w:rPr>
        <w:t>。</w:t>
      </w:r>
    </w:p>
    <w:p>
      <w:pPr>
        <w:spacing w:line="360"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 xml:space="preserve"> 杨饭店村行政办公场所340平方米，文化设施有农家书屋、文化宣传室，卫生医疗设施有医疗卫生室、残疾人康复器材4台，有党员教育室、未成年人活动室、科普教育室、家长学校、、市民教育室、普法教育室。商业服务设有一处电子商务服务站点，体育设施无。</w:t>
      </w:r>
    </w:p>
    <w:p>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w:t>
      </w:r>
      <w:r>
        <w:rPr>
          <w:rFonts w:hint="eastAsia" w:ascii="Times New Roman" w:hAnsi="Times New Roman" w:eastAsia="仿宋" w:cs="Times New Roman"/>
          <w:sz w:val="28"/>
          <w:szCs w:val="28"/>
        </w:rPr>
        <w:t>5</w:t>
      </w:r>
      <w:r>
        <w:rPr>
          <w:rFonts w:ascii="Times New Roman" w:hAnsi="Times New Roman" w:eastAsia="仿宋" w:cs="Times New Roman"/>
          <w:sz w:val="28"/>
          <w:szCs w:val="28"/>
        </w:rPr>
        <w:t>）行政村内部基础设施（给水、排水、电力电信）等现状情况摸排</w:t>
      </w:r>
      <w:r>
        <w:rPr>
          <w:rFonts w:hint="eastAsia" w:ascii="Times New Roman" w:hAnsi="Times New Roman" w:eastAsia="仿宋" w:cs="Times New Roman"/>
          <w:sz w:val="28"/>
          <w:szCs w:val="28"/>
        </w:rPr>
        <w:t>。</w:t>
      </w:r>
    </w:p>
    <w:p>
      <w:pPr>
        <w:spacing w:line="360"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杨饭店村自建自来水供水水塔1个，保障7个村民组供水.</w:t>
      </w:r>
    </w:p>
    <w:p>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w:t>
      </w:r>
      <w:r>
        <w:rPr>
          <w:rFonts w:hint="eastAsia" w:ascii="Times New Roman" w:hAnsi="Times New Roman" w:eastAsia="仿宋" w:cs="Times New Roman"/>
          <w:sz w:val="28"/>
          <w:szCs w:val="28"/>
        </w:rPr>
        <w:t>6</w:t>
      </w:r>
      <w:r>
        <w:rPr>
          <w:rFonts w:ascii="Times New Roman" w:hAnsi="Times New Roman" w:eastAsia="仿宋" w:cs="Times New Roman"/>
          <w:sz w:val="28"/>
          <w:szCs w:val="28"/>
        </w:rPr>
        <w:t>）行政村内部特色建筑、历史遗址遗迹、特色景观等资源分布概况</w:t>
      </w:r>
      <w:r>
        <w:rPr>
          <w:rFonts w:hint="eastAsia" w:ascii="Times New Roman" w:hAnsi="Times New Roman" w:eastAsia="仿宋" w:cs="Times New Roman"/>
          <w:sz w:val="28"/>
          <w:szCs w:val="28"/>
        </w:rPr>
        <w:t>。</w:t>
      </w:r>
    </w:p>
    <w:p>
      <w:pPr>
        <w:spacing w:line="360" w:lineRule="auto"/>
        <w:ind w:firstLine="980" w:firstLineChars="350"/>
        <w:rPr>
          <w:rFonts w:ascii="Times New Roman" w:hAnsi="Times New Roman" w:eastAsia="仿宋" w:cs="Times New Roman"/>
          <w:sz w:val="28"/>
          <w:szCs w:val="28"/>
        </w:rPr>
      </w:pPr>
      <w:r>
        <w:rPr>
          <w:rFonts w:hint="eastAsia" w:ascii="Times New Roman" w:hAnsi="Times New Roman" w:eastAsia="仿宋" w:cs="Times New Roman"/>
          <w:sz w:val="28"/>
          <w:szCs w:val="28"/>
        </w:rPr>
        <w:t>九天峰旅游度假村</w:t>
      </w:r>
    </w:p>
    <w:p>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w:t>
      </w:r>
      <w:r>
        <w:rPr>
          <w:rFonts w:hint="eastAsia" w:ascii="Times New Roman" w:hAnsi="Times New Roman" w:eastAsia="仿宋" w:cs="Times New Roman"/>
          <w:sz w:val="28"/>
          <w:szCs w:val="28"/>
        </w:rPr>
        <w:t>7</w:t>
      </w:r>
      <w:r>
        <w:rPr>
          <w:rFonts w:ascii="Times New Roman" w:hAnsi="Times New Roman" w:eastAsia="仿宋" w:cs="Times New Roman"/>
          <w:sz w:val="28"/>
          <w:szCs w:val="28"/>
        </w:rPr>
        <w:t>）行政村近期建设计划（含道路交通、公共服务设施、市政基础设施、扶贫计划等）</w:t>
      </w:r>
      <w:r>
        <w:rPr>
          <w:rFonts w:hint="eastAsia" w:ascii="Times New Roman" w:hAnsi="Times New Roman" w:eastAsia="仿宋" w:cs="Times New Roman"/>
          <w:sz w:val="28"/>
          <w:szCs w:val="28"/>
        </w:rPr>
        <w:t>。</w:t>
      </w:r>
    </w:p>
    <w:p>
      <w:r>
        <w:rPr>
          <w:rFonts w:hint="eastAsia"/>
        </w:rPr>
        <w:t xml:space="preserve">        杨饭店村近期维修陈岗组滁章路至汪公财户至张仁虎户门前道路硬化工程。</w:t>
      </w:r>
    </w:p>
    <w:p>
      <w:r>
        <w:rPr>
          <w:rFonts w:hint="eastAsia"/>
        </w:rPr>
        <w:t xml:space="preserve">        </w:t>
      </w:r>
    </w:p>
    <w:p/>
    <w:p/>
    <w:p/>
    <w:p/>
    <w:p/>
    <w:p/>
    <w:p/>
    <w:p/>
    <w:p/>
    <w:p/>
    <w:p/>
    <w:p/>
    <w:p/>
    <w:p/>
    <w:p/>
    <w:p/>
    <w:p/>
    <w:p/>
    <w:p/>
    <w:p/>
    <w:p/>
    <w:p/>
    <w:p/>
    <w:p>
      <w:pPr>
        <w:spacing w:line="360" w:lineRule="auto"/>
        <w:ind w:firstLine="3082" w:firstLineChars="1100"/>
        <w:rPr>
          <w:rFonts w:ascii="Times New Roman" w:hAnsi="Times New Roman" w:eastAsia="微软雅黑" w:cs="Times New Roman"/>
          <w:b/>
          <w:bCs/>
          <w:sz w:val="28"/>
          <w:szCs w:val="28"/>
        </w:rPr>
      </w:pPr>
      <w:r>
        <w:rPr>
          <w:rFonts w:hint="eastAsia" w:ascii="Times New Roman" w:hAnsi="Times New Roman" w:eastAsia="微软雅黑" w:cs="Times New Roman"/>
          <w:b/>
          <w:bCs/>
          <w:sz w:val="28"/>
          <w:szCs w:val="28"/>
        </w:rPr>
        <w:t>村庄布局专题调研表</w:t>
      </w:r>
    </w:p>
    <w:p>
      <w:pPr>
        <w:spacing w:line="360" w:lineRule="auto"/>
        <w:jc w:val="left"/>
        <w:rPr>
          <w:rFonts w:ascii="宋体" w:hAnsi="宋体" w:eastAsia="宋体" w:cs="宋体"/>
          <w:spacing w:val="10"/>
          <w:szCs w:val="21"/>
        </w:rPr>
      </w:pPr>
      <w:r>
        <w:rPr>
          <w:rFonts w:hint="eastAsia" w:ascii="宋体" w:hAnsi="宋体" w:eastAsia="宋体" w:cs="宋体"/>
          <w:spacing w:val="10"/>
          <w:szCs w:val="21"/>
        </w:rPr>
        <w:t>填表单位：滁州市（南谯区、琅琊区）  镇 行政村</w:t>
      </w:r>
    </w:p>
    <w:p>
      <w:pPr>
        <w:spacing w:line="360" w:lineRule="auto"/>
        <w:jc w:val="left"/>
        <w:rPr>
          <w:rFonts w:ascii="Times New Roman" w:hAnsi="Times New Roman" w:eastAsia="仿宋" w:cs="Times New Roman"/>
          <w:spacing w:val="10"/>
          <w:szCs w:val="21"/>
        </w:rPr>
      </w:pPr>
      <w:r>
        <w:rPr>
          <w:rFonts w:hint="eastAsia" w:ascii="宋体" w:hAnsi="宋体" w:eastAsia="宋体" w:cs="宋体"/>
          <w:spacing w:val="10"/>
          <w:szCs w:val="21"/>
        </w:rPr>
        <w:t>填写人（负责人）姓名职务联系电话</w:t>
      </w:r>
    </w:p>
    <w:tbl>
      <w:tblPr>
        <w:tblStyle w:val="4"/>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18"/>
        <w:gridCol w:w="992"/>
        <w:gridCol w:w="1134"/>
        <w:gridCol w:w="1134"/>
        <w:gridCol w:w="992"/>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709" w:type="dxa"/>
            <w:vAlign w:val="center"/>
          </w:tcPr>
          <w:p>
            <w:pPr>
              <w:spacing w:line="360" w:lineRule="auto"/>
              <w:jc w:val="center"/>
              <w:rPr>
                <w:rFonts w:ascii="Times New Roman" w:hAnsi="Times New Roman" w:eastAsia="仿宋" w:cs="Times New Roman"/>
                <w:spacing w:val="10"/>
                <w:sz w:val="18"/>
                <w:szCs w:val="18"/>
              </w:rPr>
            </w:pPr>
            <w:r>
              <w:rPr>
                <w:rFonts w:ascii="Times New Roman" w:hAnsi="Times New Roman" w:eastAsia="仿宋" w:cs="Times New Roman"/>
                <w:spacing w:val="10"/>
                <w:sz w:val="18"/>
                <w:szCs w:val="18"/>
              </w:rPr>
              <w:t>序号</w:t>
            </w:r>
          </w:p>
        </w:tc>
        <w:tc>
          <w:tcPr>
            <w:tcW w:w="1418" w:type="dxa"/>
            <w:shd w:val="clear" w:color="auto" w:fill="auto"/>
            <w:vAlign w:val="center"/>
          </w:tcPr>
          <w:p>
            <w:pPr>
              <w:spacing w:line="360" w:lineRule="auto"/>
              <w:jc w:val="center"/>
              <w:rPr>
                <w:rFonts w:ascii="Times New Roman" w:hAnsi="Times New Roman" w:eastAsia="仿宋" w:cs="Times New Roman"/>
                <w:spacing w:val="10"/>
                <w:sz w:val="18"/>
                <w:szCs w:val="18"/>
              </w:rPr>
            </w:pPr>
            <w:r>
              <w:rPr>
                <w:rFonts w:hint="eastAsia" w:ascii="Times New Roman" w:hAnsi="Times New Roman" w:eastAsia="仿宋" w:cs="Times New Roman"/>
                <w:spacing w:val="10"/>
                <w:sz w:val="18"/>
                <w:szCs w:val="18"/>
              </w:rPr>
              <w:t>自然村</w:t>
            </w:r>
          </w:p>
        </w:tc>
        <w:tc>
          <w:tcPr>
            <w:tcW w:w="992" w:type="dxa"/>
            <w:shd w:val="clear" w:color="auto" w:fill="auto"/>
            <w:vAlign w:val="center"/>
          </w:tcPr>
          <w:p>
            <w:pPr>
              <w:spacing w:line="360" w:lineRule="auto"/>
              <w:jc w:val="center"/>
              <w:rPr>
                <w:rFonts w:ascii="Times New Roman" w:hAnsi="Times New Roman" w:eastAsia="仿宋" w:cs="Times New Roman"/>
                <w:spacing w:val="10"/>
                <w:sz w:val="18"/>
                <w:szCs w:val="18"/>
              </w:rPr>
            </w:pPr>
            <w:r>
              <w:rPr>
                <w:rFonts w:hint="eastAsia" w:ascii="Times New Roman" w:hAnsi="Times New Roman" w:eastAsia="仿宋" w:cs="Times New Roman"/>
                <w:spacing w:val="10"/>
                <w:sz w:val="18"/>
                <w:szCs w:val="18"/>
              </w:rPr>
              <w:t>户数</w:t>
            </w:r>
          </w:p>
        </w:tc>
        <w:tc>
          <w:tcPr>
            <w:tcW w:w="1134" w:type="dxa"/>
            <w:shd w:val="clear" w:color="auto" w:fill="auto"/>
            <w:vAlign w:val="center"/>
          </w:tcPr>
          <w:p>
            <w:pPr>
              <w:spacing w:line="360" w:lineRule="auto"/>
              <w:jc w:val="center"/>
              <w:rPr>
                <w:rFonts w:ascii="Times New Roman" w:hAnsi="Times New Roman" w:eastAsia="仿宋" w:cs="Times New Roman"/>
                <w:spacing w:val="10"/>
                <w:sz w:val="18"/>
                <w:szCs w:val="18"/>
              </w:rPr>
            </w:pPr>
            <w:r>
              <w:rPr>
                <w:rFonts w:ascii="Times New Roman" w:hAnsi="Times New Roman" w:eastAsia="仿宋" w:cs="Times New Roman"/>
                <w:spacing w:val="10"/>
                <w:sz w:val="18"/>
                <w:szCs w:val="18"/>
              </w:rPr>
              <w:t>户籍人口</w:t>
            </w:r>
          </w:p>
        </w:tc>
        <w:tc>
          <w:tcPr>
            <w:tcW w:w="1134" w:type="dxa"/>
            <w:shd w:val="clear" w:color="auto" w:fill="auto"/>
            <w:vAlign w:val="center"/>
          </w:tcPr>
          <w:p>
            <w:pPr>
              <w:spacing w:line="360" w:lineRule="auto"/>
              <w:jc w:val="center"/>
              <w:rPr>
                <w:rFonts w:ascii="Times New Roman" w:hAnsi="Times New Roman" w:eastAsia="仿宋" w:cs="Times New Roman"/>
                <w:spacing w:val="10"/>
                <w:sz w:val="18"/>
                <w:szCs w:val="18"/>
              </w:rPr>
            </w:pPr>
            <w:r>
              <w:rPr>
                <w:rFonts w:ascii="Times New Roman" w:hAnsi="Times New Roman" w:eastAsia="仿宋" w:cs="Times New Roman"/>
                <w:spacing w:val="10"/>
                <w:sz w:val="18"/>
                <w:szCs w:val="18"/>
              </w:rPr>
              <w:t>常住人口</w:t>
            </w:r>
          </w:p>
        </w:tc>
        <w:tc>
          <w:tcPr>
            <w:tcW w:w="992" w:type="dxa"/>
            <w:vAlign w:val="center"/>
          </w:tcPr>
          <w:p>
            <w:pPr>
              <w:spacing w:line="360" w:lineRule="auto"/>
              <w:jc w:val="center"/>
              <w:rPr>
                <w:rFonts w:ascii="Times New Roman" w:hAnsi="Times New Roman" w:eastAsia="仿宋" w:cs="Times New Roman"/>
                <w:spacing w:val="10"/>
                <w:sz w:val="18"/>
                <w:szCs w:val="18"/>
              </w:rPr>
            </w:pPr>
            <w:r>
              <w:rPr>
                <w:rFonts w:ascii="Times New Roman" w:hAnsi="Times New Roman" w:eastAsia="仿宋" w:cs="Times New Roman"/>
                <w:spacing w:val="10"/>
                <w:szCs w:val="21"/>
              </w:rPr>
              <w:t>外来暂住人口</w:t>
            </w:r>
          </w:p>
        </w:tc>
        <w:tc>
          <w:tcPr>
            <w:tcW w:w="2693"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1、永久居民点</w:t>
            </w:r>
          </w:p>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2、近期搬迁撤并居民点</w:t>
            </w:r>
          </w:p>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3、远期搬迁撤并居民点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后南组</w:t>
            </w:r>
          </w:p>
        </w:tc>
        <w:tc>
          <w:tcPr>
            <w:tcW w:w="992" w:type="dxa"/>
            <w:shd w:val="clear" w:color="auto" w:fill="auto"/>
            <w:vAlign w:val="center"/>
          </w:tcPr>
          <w:p>
            <w:pPr>
              <w:spacing w:line="360" w:lineRule="auto"/>
              <w:rPr>
                <w:rFonts w:ascii="Times New Roman" w:hAnsi="Times New Roman" w:eastAsia="仿宋" w:cs="Times New Roman"/>
                <w:spacing w:val="10"/>
                <w:szCs w:val="21"/>
              </w:rPr>
            </w:pPr>
          </w:p>
        </w:tc>
        <w:tc>
          <w:tcPr>
            <w:tcW w:w="1134" w:type="dxa"/>
            <w:shd w:val="clear" w:color="auto" w:fill="auto"/>
            <w:vAlign w:val="center"/>
          </w:tcPr>
          <w:p>
            <w:pPr>
              <w:spacing w:line="360" w:lineRule="auto"/>
              <w:rPr>
                <w:rFonts w:ascii="Times New Roman" w:hAnsi="Times New Roman" w:eastAsia="仿宋" w:cs="Times New Roman"/>
                <w:spacing w:val="10"/>
                <w:szCs w:val="21"/>
              </w:rPr>
            </w:pPr>
          </w:p>
        </w:tc>
        <w:tc>
          <w:tcPr>
            <w:tcW w:w="1134" w:type="dxa"/>
            <w:shd w:val="clear" w:color="auto" w:fill="auto"/>
            <w:vAlign w:val="center"/>
          </w:tcPr>
          <w:p>
            <w:pPr>
              <w:spacing w:line="360" w:lineRule="auto"/>
              <w:rPr>
                <w:rFonts w:ascii="Times New Roman" w:hAnsi="Times New Roman" w:eastAsia="仿宋" w:cs="Times New Roman"/>
                <w:spacing w:val="10"/>
                <w:szCs w:val="21"/>
              </w:rPr>
            </w:pPr>
          </w:p>
        </w:tc>
        <w:tc>
          <w:tcPr>
            <w:tcW w:w="992"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16</w:t>
            </w: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2</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周刘组</w:t>
            </w:r>
          </w:p>
        </w:tc>
        <w:tc>
          <w:tcPr>
            <w:tcW w:w="992"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44</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110</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35</w:t>
            </w:r>
          </w:p>
        </w:tc>
        <w:tc>
          <w:tcPr>
            <w:tcW w:w="992"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0</w:t>
            </w: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3</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张郢组</w:t>
            </w:r>
          </w:p>
        </w:tc>
        <w:tc>
          <w:tcPr>
            <w:tcW w:w="992"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56</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138</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27</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4</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饭店组</w:t>
            </w:r>
          </w:p>
        </w:tc>
        <w:tc>
          <w:tcPr>
            <w:tcW w:w="992"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46</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132</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32</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5</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余庄组</w:t>
            </w:r>
          </w:p>
        </w:tc>
        <w:tc>
          <w:tcPr>
            <w:tcW w:w="992"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46</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115</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35</w:t>
            </w:r>
          </w:p>
        </w:tc>
        <w:tc>
          <w:tcPr>
            <w:tcW w:w="992"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23</w:t>
            </w: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6</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姚洼组</w:t>
            </w:r>
          </w:p>
        </w:tc>
        <w:tc>
          <w:tcPr>
            <w:tcW w:w="992"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48</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125</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40</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7</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四冲组</w:t>
            </w:r>
          </w:p>
        </w:tc>
        <w:tc>
          <w:tcPr>
            <w:tcW w:w="992"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42</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115</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25</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8</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代李组</w:t>
            </w:r>
          </w:p>
        </w:tc>
        <w:tc>
          <w:tcPr>
            <w:tcW w:w="992"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93</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233</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46</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9</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瓦屋城组</w:t>
            </w:r>
          </w:p>
        </w:tc>
        <w:tc>
          <w:tcPr>
            <w:tcW w:w="992"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115</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262</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47</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10</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永丰组</w:t>
            </w:r>
          </w:p>
        </w:tc>
        <w:tc>
          <w:tcPr>
            <w:tcW w:w="992"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79</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212</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56</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11</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太平桥组</w:t>
            </w:r>
          </w:p>
        </w:tc>
        <w:tc>
          <w:tcPr>
            <w:tcW w:w="992"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66</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193</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45</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12</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陈岗组</w:t>
            </w:r>
          </w:p>
        </w:tc>
        <w:tc>
          <w:tcPr>
            <w:tcW w:w="992"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35</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100</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32</w:t>
            </w:r>
          </w:p>
        </w:tc>
        <w:tc>
          <w:tcPr>
            <w:tcW w:w="992"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9</w:t>
            </w: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13</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大英坊组</w:t>
            </w:r>
          </w:p>
        </w:tc>
        <w:tc>
          <w:tcPr>
            <w:tcW w:w="992"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76</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192</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52</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14</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石板塘组</w:t>
            </w:r>
          </w:p>
        </w:tc>
        <w:tc>
          <w:tcPr>
            <w:tcW w:w="992"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78</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221</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73</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15</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小方组</w:t>
            </w:r>
          </w:p>
        </w:tc>
        <w:tc>
          <w:tcPr>
            <w:tcW w:w="992"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51</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162</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62</w:t>
            </w:r>
          </w:p>
        </w:tc>
        <w:tc>
          <w:tcPr>
            <w:tcW w:w="992"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3</w:t>
            </w: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16</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小河组</w:t>
            </w:r>
          </w:p>
        </w:tc>
        <w:tc>
          <w:tcPr>
            <w:tcW w:w="992"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43</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132</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38</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17</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河少李组</w:t>
            </w:r>
          </w:p>
        </w:tc>
        <w:tc>
          <w:tcPr>
            <w:tcW w:w="992"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101</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214</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56</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18</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科王组</w:t>
            </w:r>
          </w:p>
        </w:tc>
        <w:tc>
          <w:tcPr>
            <w:tcW w:w="992"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34</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100</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26</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19</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小雷组</w:t>
            </w:r>
          </w:p>
        </w:tc>
        <w:tc>
          <w:tcPr>
            <w:tcW w:w="992"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23</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71</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23</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20</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柳庄组</w:t>
            </w:r>
          </w:p>
        </w:tc>
        <w:tc>
          <w:tcPr>
            <w:tcW w:w="992"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36</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84</w:t>
            </w:r>
          </w:p>
        </w:tc>
        <w:tc>
          <w:tcPr>
            <w:tcW w:w="1134"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31</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p>
        </w:tc>
        <w:tc>
          <w:tcPr>
            <w:tcW w:w="1418" w:type="dxa"/>
            <w:shd w:val="clear" w:color="auto" w:fill="auto"/>
            <w:vAlign w:val="center"/>
          </w:tcPr>
          <w:p>
            <w:pPr>
              <w:spacing w:line="360" w:lineRule="auto"/>
              <w:rPr>
                <w:rFonts w:ascii="Times New Roman" w:hAnsi="Times New Roman" w:eastAsia="仿宋" w:cs="Times New Roman"/>
                <w:spacing w:val="10"/>
                <w:szCs w:val="21"/>
              </w:rPr>
            </w:pPr>
          </w:p>
        </w:tc>
        <w:tc>
          <w:tcPr>
            <w:tcW w:w="992" w:type="dxa"/>
            <w:shd w:val="clear" w:color="auto" w:fill="auto"/>
            <w:vAlign w:val="center"/>
          </w:tcPr>
          <w:p>
            <w:pPr>
              <w:spacing w:line="360" w:lineRule="auto"/>
              <w:rPr>
                <w:rFonts w:ascii="Times New Roman" w:hAnsi="Times New Roman" w:eastAsia="仿宋" w:cs="Times New Roman"/>
                <w:spacing w:val="10"/>
                <w:szCs w:val="21"/>
              </w:rPr>
            </w:pPr>
          </w:p>
        </w:tc>
        <w:tc>
          <w:tcPr>
            <w:tcW w:w="1134" w:type="dxa"/>
            <w:shd w:val="clear" w:color="auto" w:fill="auto"/>
            <w:vAlign w:val="center"/>
          </w:tcPr>
          <w:p>
            <w:pPr>
              <w:spacing w:line="360" w:lineRule="auto"/>
              <w:rPr>
                <w:rFonts w:ascii="Times New Roman" w:hAnsi="Times New Roman" w:eastAsia="仿宋" w:cs="Times New Roman"/>
                <w:spacing w:val="10"/>
                <w:szCs w:val="21"/>
              </w:rPr>
            </w:pPr>
          </w:p>
        </w:tc>
        <w:tc>
          <w:tcPr>
            <w:tcW w:w="1134" w:type="dxa"/>
            <w:shd w:val="clear" w:color="auto" w:fill="auto"/>
            <w:vAlign w:val="center"/>
          </w:tcPr>
          <w:p>
            <w:pPr>
              <w:spacing w:line="360" w:lineRule="auto"/>
              <w:rPr>
                <w:rFonts w:ascii="Times New Roman" w:hAnsi="Times New Roman" w:eastAsia="仿宋" w:cs="Times New Roman"/>
                <w:spacing w:val="10"/>
                <w:szCs w:val="21"/>
              </w:rPr>
            </w:pP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p>
        </w:tc>
        <w:tc>
          <w:tcPr>
            <w:tcW w:w="1418" w:type="dxa"/>
            <w:shd w:val="clear" w:color="auto" w:fill="auto"/>
            <w:vAlign w:val="center"/>
          </w:tcPr>
          <w:p>
            <w:pPr>
              <w:spacing w:line="360" w:lineRule="auto"/>
              <w:rPr>
                <w:rFonts w:ascii="Times New Roman" w:hAnsi="Times New Roman" w:eastAsia="仿宋" w:cs="Times New Roman"/>
                <w:spacing w:val="10"/>
                <w:szCs w:val="21"/>
              </w:rPr>
            </w:pPr>
          </w:p>
        </w:tc>
        <w:tc>
          <w:tcPr>
            <w:tcW w:w="992" w:type="dxa"/>
            <w:shd w:val="clear" w:color="auto" w:fill="auto"/>
            <w:vAlign w:val="center"/>
          </w:tcPr>
          <w:p>
            <w:pPr>
              <w:spacing w:line="360" w:lineRule="auto"/>
              <w:rPr>
                <w:rFonts w:ascii="Times New Roman" w:hAnsi="Times New Roman" w:eastAsia="仿宋" w:cs="Times New Roman"/>
                <w:spacing w:val="10"/>
                <w:szCs w:val="21"/>
              </w:rPr>
            </w:pPr>
          </w:p>
        </w:tc>
        <w:tc>
          <w:tcPr>
            <w:tcW w:w="1134" w:type="dxa"/>
            <w:shd w:val="clear" w:color="auto" w:fill="auto"/>
            <w:vAlign w:val="center"/>
          </w:tcPr>
          <w:p>
            <w:pPr>
              <w:spacing w:line="360" w:lineRule="auto"/>
              <w:rPr>
                <w:rFonts w:ascii="Times New Roman" w:hAnsi="Times New Roman" w:eastAsia="仿宋" w:cs="Times New Roman"/>
                <w:spacing w:val="10"/>
                <w:szCs w:val="21"/>
              </w:rPr>
            </w:pPr>
          </w:p>
        </w:tc>
        <w:tc>
          <w:tcPr>
            <w:tcW w:w="1134" w:type="dxa"/>
            <w:shd w:val="clear" w:color="auto" w:fill="auto"/>
            <w:vAlign w:val="center"/>
          </w:tcPr>
          <w:p>
            <w:pPr>
              <w:spacing w:line="360" w:lineRule="auto"/>
              <w:rPr>
                <w:rFonts w:ascii="Times New Roman" w:hAnsi="Times New Roman" w:eastAsia="仿宋" w:cs="Times New Roman"/>
                <w:spacing w:val="10"/>
                <w:szCs w:val="21"/>
              </w:rPr>
            </w:pP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bl>
    <w:p>
      <w:pPr>
        <w:spacing w:line="360" w:lineRule="auto"/>
      </w:pPr>
      <w:r>
        <w:rPr>
          <w:rFonts w:hint="eastAsia" w:ascii="Times New Roman" w:hAnsi="Times New Roman" w:eastAsia="仿宋" w:cs="Times New Roman"/>
          <w:b/>
          <w:bCs/>
          <w:spacing w:val="10"/>
          <w:szCs w:val="21"/>
        </w:rPr>
        <w:t>备注：村名组序号与调研底图绘制一致</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1D24C48"/>
    <w:rsid w:val="00052B98"/>
    <w:rsid w:val="000D39F2"/>
    <w:rsid w:val="00177A71"/>
    <w:rsid w:val="002803CE"/>
    <w:rsid w:val="0054548B"/>
    <w:rsid w:val="006B3B58"/>
    <w:rsid w:val="007D05CB"/>
    <w:rsid w:val="00915FFF"/>
    <w:rsid w:val="00986EFA"/>
    <w:rsid w:val="00A47920"/>
    <w:rsid w:val="00A734C4"/>
    <w:rsid w:val="00AA081F"/>
    <w:rsid w:val="00B54B12"/>
    <w:rsid w:val="00BE6999"/>
    <w:rsid w:val="00C64145"/>
    <w:rsid w:val="00EB6B82"/>
    <w:rsid w:val="00F0139F"/>
    <w:rsid w:val="00FF6963"/>
    <w:rsid w:val="0DAB3CC5"/>
    <w:rsid w:val="148B2F1A"/>
    <w:rsid w:val="1F73280F"/>
    <w:rsid w:val="21D24C48"/>
    <w:rsid w:val="386F50DA"/>
    <w:rsid w:val="50052EF3"/>
    <w:rsid w:val="6C632615"/>
    <w:rsid w:val="7B9A12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6">
    <w:name w:val="font31"/>
    <w:basedOn w:val="5"/>
    <w:uiPriority w:val="0"/>
    <w:rPr>
      <w:rFonts w:hint="eastAsia" w:ascii="宋体" w:hAnsi="宋体" w:eastAsia="宋体" w:cs="宋体"/>
      <w:color w:val="000000"/>
      <w:sz w:val="36"/>
      <w:szCs w:val="36"/>
      <w:u w:val="none"/>
    </w:rPr>
  </w:style>
  <w:style w:type="character" w:customStyle="1" w:styleId="7">
    <w:name w:val="页眉 Char"/>
    <w:basedOn w:val="5"/>
    <w:link w:val="3"/>
    <w:qFormat/>
    <w:uiPriority w:val="0"/>
    <w:rPr>
      <w:rFonts w:asciiTheme="minorHAnsi" w:hAnsiTheme="minorHAnsi" w:eastAsiaTheme="minorEastAsia" w:cstheme="minorBidi"/>
      <w:kern w:val="2"/>
      <w:sz w:val="18"/>
      <w:szCs w:val="18"/>
    </w:rPr>
  </w:style>
  <w:style w:type="character" w:customStyle="1" w:styleId="8">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282</Words>
  <Characters>1612</Characters>
  <Lines>13</Lines>
  <Paragraphs>3</Paragraphs>
  <TotalTime>138</TotalTime>
  <ScaleCrop>false</ScaleCrop>
  <LinksUpToDate>false</LinksUpToDate>
  <CharactersWithSpaces>1891</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2020-10-27T12:55:00Z</dcterms:created>
  <dc:creator>Lenovo</dc:creator>
  <cp:lastModifiedBy>Administrator</cp:lastModifiedBy>
  <dcterms:modified xsi:type="dcterms:W3CDTF">2020-11-01T08:29:15Z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